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2D0">
      <w:pPr>
        <w:rPr>
          <w:sz w:val="28"/>
          <w:szCs w:val="28"/>
          <w:lang w:val="ro-RO"/>
        </w:rPr>
      </w:pPr>
      <w:proofErr w:type="spellStart"/>
      <w:r w:rsidRPr="002B72D0">
        <w:rPr>
          <w:sz w:val="28"/>
          <w:szCs w:val="28"/>
          <w:lang w:val="ro-RO"/>
        </w:rPr>
        <w:t>Noutati</w:t>
      </w:r>
      <w:proofErr w:type="spellEnd"/>
      <w:r w:rsidRPr="002B72D0">
        <w:rPr>
          <w:sz w:val="28"/>
          <w:szCs w:val="28"/>
          <w:lang w:val="ro-RO"/>
        </w:rPr>
        <w:t xml:space="preserve"> contractare </w:t>
      </w:r>
      <w:proofErr w:type="spellStart"/>
      <w:r w:rsidRPr="002B72D0">
        <w:rPr>
          <w:sz w:val="28"/>
          <w:szCs w:val="28"/>
          <w:lang w:val="ro-RO"/>
        </w:rPr>
        <w:t>sem.II</w:t>
      </w:r>
      <w:proofErr w:type="spellEnd"/>
      <w:r w:rsidRPr="002B72D0">
        <w:rPr>
          <w:sz w:val="28"/>
          <w:szCs w:val="28"/>
          <w:lang w:val="ro-RO"/>
        </w:rPr>
        <w:t xml:space="preserve"> 2019</w:t>
      </w:r>
    </w:p>
    <w:p w:rsidR="002B72D0" w:rsidRDefault="002B72D0" w:rsidP="002B72D0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HG 416/2019-prelungeste aplicabilitatea HG nr.140/2018-Contract-cadru</w:t>
      </w:r>
    </w:p>
    <w:p w:rsidR="002B72D0" w:rsidRDefault="002B72D0" w:rsidP="002B72D0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Ord.MS</w:t>
      </w:r>
      <w:proofErr w:type="spellEnd"/>
      <w:r>
        <w:rPr>
          <w:sz w:val="28"/>
          <w:szCs w:val="28"/>
          <w:lang w:val="ro-RO"/>
        </w:rPr>
        <w:t xml:space="preserve">/CNAS nr.980/610/2019-prelungeste aplicabilitatea </w:t>
      </w:r>
      <w:proofErr w:type="spellStart"/>
      <w:r>
        <w:rPr>
          <w:sz w:val="28"/>
          <w:szCs w:val="28"/>
          <w:lang w:val="ro-RO"/>
        </w:rPr>
        <w:t>Ord.MS</w:t>
      </w:r>
      <w:proofErr w:type="spellEnd"/>
      <w:r>
        <w:rPr>
          <w:sz w:val="28"/>
          <w:szCs w:val="28"/>
          <w:lang w:val="ro-RO"/>
        </w:rPr>
        <w:t>/CNAS nr.397/836/2018-Norme metodologice</w:t>
      </w:r>
    </w:p>
    <w:p w:rsidR="002B72D0" w:rsidRDefault="002B72D0" w:rsidP="002B72D0">
      <w:pPr>
        <w:pStyle w:val="Listparagraf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Legea 95/2006-varsta de pensionare medici</w:t>
      </w:r>
    </w:p>
    <w:p w:rsidR="002B72D0" w:rsidRDefault="002B72D0" w:rsidP="002B72D0">
      <w:pPr>
        <w:pStyle w:val="Listparagraf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</w:t>
      </w:r>
      <w:proofErr w:type="spellStart"/>
      <w:r>
        <w:rPr>
          <w:sz w:val="28"/>
          <w:szCs w:val="28"/>
          <w:lang w:val="ro-RO"/>
        </w:rPr>
        <w:t>-puncte</w:t>
      </w:r>
      <w:proofErr w:type="spellEnd"/>
      <w:r>
        <w:rPr>
          <w:sz w:val="28"/>
          <w:szCs w:val="28"/>
          <w:lang w:val="ro-RO"/>
        </w:rPr>
        <w:t xml:space="preserve"> de lucru in AMP</w:t>
      </w:r>
    </w:p>
    <w:p w:rsidR="002B72D0" w:rsidRPr="002B72D0" w:rsidRDefault="002B72D0" w:rsidP="002B72D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-    Decizia CMR nr.5/2019-infiintare puncte secundare de lucru in AMP</w:t>
      </w:r>
    </w:p>
    <w:sectPr w:rsidR="002B72D0" w:rsidRPr="002B7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0A47"/>
    <w:multiLevelType w:val="hybridMultilevel"/>
    <w:tmpl w:val="9FA29E8A"/>
    <w:lvl w:ilvl="0" w:tplc="60E804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72D0"/>
    <w:rsid w:val="002B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B7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2019-07-24T12:48:00Z</dcterms:created>
  <dcterms:modified xsi:type="dcterms:W3CDTF">2019-07-24T12:57:00Z</dcterms:modified>
</cp:coreProperties>
</file>